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102.png" ContentType="image/png"/>
  <Override PartName="/word/media/rId101.png" ContentType="image/png"/>
  <Override PartName="/word/media/rId100.png" ContentType="image/png"/>
  <Override PartName="/word/media/rId99.png" ContentType="image/png"/>
  <Override PartName="/word/media/rId97.png" ContentType="image/png"/>
  <Override PartName="/word/media/rId98.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2021-10-12</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numId w:val="1007"/>
          <w:ilvl w:val="0"/>
        </w:numPr>
      </w:pPr>
      <w:r>
        <w:t xml:space="preserve">Dimensión relaciones sociales de igualdad:</w:t>
      </w:r>
    </w:p>
    <w:p>
      <w:pPr>
        <w:numPr>
          <w:numId w:val="1008"/>
          <w:ilvl w:val="1"/>
        </w:numPr>
      </w:pPr>
      <w:r>
        <w:t xml:space="preserve">confianza interpersonal</w:t>
      </w:r>
    </w:p>
    <w:p>
      <w:pPr>
        <w:numPr>
          <w:numId w:val="1008"/>
          <w:ilvl w:val="1"/>
        </w:numPr>
      </w:pPr>
      <w:r>
        <w:t xml:space="preserve">reconocimiento y respecto de la diversidad</w:t>
      </w:r>
    </w:p>
    <w:p>
      <w:pPr>
        <w:numPr>
          <w:numId w:val="1008"/>
          <w:ilvl w:val="1"/>
        </w:numPr>
      </w:pPr>
      <w:r>
        <w:t xml:space="preserve">lazos</w:t>
      </w:r>
    </w:p>
    <w:p>
      <w:pPr>
        <w:numPr>
          <w:numId w:val="1007"/>
          <w:ilvl w:val="0"/>
        </w:numPr>
      </w:pPr>
      <w:r>
        <w:t xml:space="preserve">Dimensión sentido de pertenencia:</w:t>
      </w:r>
    </w:p>
    <w:p>
      <w:pPr>
        <w:numPr>
          <w:numId w:val="1009"/>
          <w:ilvl w:val="1"/>
        </w:numPr>
      </w:pPr>
      <w:r>
        <w:t xml:space="preserve">identificación con el país</w:t>
      </w:r>
    </w:p>
    <w:p>
      <w:pPr>
        <w:numPr>
          <w:numId w:val="1009"/>
          <w:ilvl w:val="1"/>
        </w:numPr>
      </w:pPr>
      <w:r>
        <w:t xml:space="preserve">percepción de justicia</w:t>
      </w:r>
    </w:p>
    <w:p>
      <w:pPr>
        <w:numPr>
          <w:numId w:val="1009"/>
          <w:ilvl w:val="1"/>
        </w:numPr>
      </w:pPr>
      <w:r>
        <w:t xml:space="preserve">confianza institucional</w:t>
      </w:r>
    </w:p>
    <w:p>
      <w:pPr>
        <w:numPr>
          <w:numId w:val="1007"/>
          <w:ilvl w:val="0"/>
        </w:numPr>
      </w:pPr>
      <w:r>
        <w:t xml:space="preserve">Dimensión orientación hacia el bien común:</w:t>
      </w:r>
    </w:p>
    <w:p>
      <w:pPr>
        <w:numPr>
          <w:numId w:val="1010"/>
          <w:ilvl w:val="1"/>
        </w:numPr>
      </w:pPr>
      <w:r>
        <w:t xml:space="preserve">solidaridad</w:t>
      </w:r>
    </w:p>
    <w:p>
      <w:pPr>
        <w:numPr>
          <w:numId w:val="1010"/>
          <w:ilvl w:val="1"/>
        </w:numPr>
      </w:pPr>
      <w:r>
        <w:t xml:space="preserve">participación cívica</w:t>
      </w:r>
    </w:p>
    <w:p>
      <w:pPr>
        <w:numPr>
          <w:numId w:val="1007"/>
          <w:ilvl w:val="0"/>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items que componen este indicador son:</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cohesion-territorial"/>
      <w:r>
        <w:t xml:space="preserve">2.4	Cohesion territorial</w:t>
      </w:r>
      <w:bookmarkEnd w:id="87"/>
    </w:p>
    <w:p>
      <w:pPr>
        <w:pStyle w:val="FirstParagraph"/>
      </w:pPr>
      <w:r>
        <w:t xml:space="preserve">Los items que componen este indicador son:</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p>
      <w:pPr>
        <w:pStyle w:val="Ttulo1"/>
      </w:pPr>
      <w:bookmarkStart w:id="89" w:name="Xce4ceb0c0204d9856f90dbb3566ad8fbfdfdc3b"/>
      <w:r>
        <w:t xml:space="preserve">3	Habilitadores e inhibidores de la cohesión social</w:t>
      </w:r>
      <w:bookmarkEnd w:id="89"/>
    </w:p>
    <w:p>
      <w:pPr>
        <w:pStyle w:val="Ttulo2"/>
      </w:pPr>
      <w:bookmarkStart w:id="90" w:name="X7ea9c994c3adcaacde818179fe147d55f01a70e"/>
      <w:r>
        <w:t xml:space="preserve">3.1	Versión 2. Perfiles de la cohesión social</w:t>
      </w:r>
      <w:bookmarkEnd w:id="90"/>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p>
      <w:pPr>
        <w:pStyle w:val="Ttulo3"/>
      </w:pPr>
      <w:bookmarkStart w:id="91" w:name="X99d0de76ebbadd9f096d1d3f89e528e6ed4d4c4"/>
      <w:r>
        <w:t xml:space="preserve">3.1.1	Procedimiento. Tipología de clases latentes a partir de subdimensiones de cohesión</w:t>
      </w:r>
      <w:bookmarkEnd w:id="91"/>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p>
    <w:p>
      <w:pPr>
        <w:pStyle w:val="Ttulo3"/>
      </w:pPr>
      <w:bookmarkStart w:id="93" w:name="X7267b6fd62c98c26e7a58b8144041d8ba5bb154"/>
      <w:r>
        <w:t xml:space="preserve">3.1.2	Descripción. Mapeo en Chile de niveles de cohesión por regiones (mapas de calor)</w:t>
      </w:r>
      <w:bookmarkEnd w:id="93"/>
    </w:p>
    <w:p>
      <w:pPr>
        <w:pStyle w:val="FirstParagraph"/>
      </w:pPr>
      <w:r>
        <w:t xml:space="preserve">Las agrupaciones obtenidas a partir del ACL será representada en los territorios de forma que se pueda apreciar la pauta predominante en cada región del país.</w:t>
      </w:r>
    </w:p>
    <w:p>
      <w:pPr>
        <w:pStyle w:val="Ttulo3"/>
      </w:pPr>
      <w:bookmarkStart w:id="94" w:name="X024c074f0d0bc8bc142987c0d636788875fbbd9"/>
      <w:r>
        <w:t xml:space="preserve">3.1.3	Análisis. Tablas con niveles de cohesión por elementos habilitadores</w:t>
      </w:r>
      <w:bookmarkEnd w:id="94"/>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4"/>
      </w:pPr>
      <w:bookmarkStart w:id="95" w:name="inclusión-laboral"/>
      <w:r>
        <w:t xml:space="preserve">3.1.3.1	Inclusión laboral</w:t>
      </w:r>
      <w:bookmarkEnd w:id="95"/>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pPr>
      <w:r>
        <w:t xml:space="preserve">Clases de cohesion</w:t>
      </w:r>
      <w:r>
        <w:t xml:space="preserve">social</w:t>
      </w:r>
    </w:p>
    <w:p>
      <w:pPr>
        <w:pStyle w:val="Compact"/>
      </w:pPr>
      <w:r>
        <w:t xml:space="preserve">Tipo de empleo</w:t>
      </w:r>
    </w:p>
    <w:p>
      <w:pPr>
        <w:pStyle w:val="Compact"/>
      </w:pPr>
      <w:r>
        <w:t xml:space="preserve">N=906</w:t>
      </w:r>
    </w:p>
    <w:p>
      <w:pPr>
        <w:pStyle w:val="Compact"/>
      </w:pPr>
      <w:r>
        <w:t xml:space="preserve">Formal</w:t>
      </w:r>
    </w:p>
    <w:p>
      <w:pPr>
        <w:pStyle w:val="Compact"/>
      </w:pPr>
      <w:r>
        <w:t xml:space="preserve">Informal</w:t>
      </w:r>
    </w:p>
    <w:p>
      <w:pPr>
        <w:pStyle w:val="Compact"/>
      </w:pPr>
      <w:r>
        <w:t xml:space="preserve">Institucional</w:t>
      </w:r>
    </w:p>
    <w:p>
      <w:pPr>
        <w:pStyle w:val="Compact"/>
      </w:pPr>
      <w:r>
        <w:t xml:space="preserve">55.7</w:t>
      </w:r>
    </w:p>
    <w:p>
      <w:pPr>
        <w:pStyle w:val="Compact"/>
      </w:pPr>
      <w:r>
        <w:t xml:space="preserve">43.6</w:t>
      </w:r>
    </w:p>
    <w:p>
      <w:pPr>
        <w:pStyle w:val="Compact"/>
      </w:pPr>
      <w:r>
        <w:t xml:space="preserve">51.5</w:t>
      </w:r>
    </w:p>
    <w:p>
      <w:pPr>
        <w:pStyle w:val="Compact"/>
      </w:pPr>
      <w:r>
        <w:t xml:space="preserve">Movilizado</w:t>
      </w:r>
    </w:p>
    <w:p>
      <w:pPr>
        <w:pStyle w:val="Compact"/>
      </w:pPr>
      <w:r>
        <w:t xml:space="preserve">23.5</w:t>
      </w:r>
    </w:p>
    <w:p>
      <w:pPr>
        <w:pStyle w:val="Compact"/>
      </w:pPr>
      <w:r>
        <w:t xml:space="preserve">34.1</w:t>
      </w:r>
    </w:p>
    <w:p>
      <w:pPr>
        <w:pStyle w:val="Compact"/>
      </w:pPr>
      <w:r>
        <w:t xml:space="preserve">27.2</w:t>
      </w:r>
    </w:p>
    <w:p>
      <w:pPr>
        <w:pStyle w:val="Compact"/>
      </w:pPr>
      <w:r>
        <w:t xml:space="preserve">Atomizado</w:t>
      </w:r>
    </w:p>
    <w:p>
      <w:pPr>
        <w:pStyle w:val="Compact"/>
      </w:pPr>
      <w:r>
        <w:t xml:space="preserve">20.8</w:t>
      </w:r>
    </w:p>
    <w:p>
      <w:pPr>
        <w:pStyle w:val="Compact"/>
      </w:pPr>
      <w:r>
        <w:t xml:space="preserve">22.3</w:t>
      </w:r>
    </w:p>
    <w:p>
      <w:pPr>
        <w:pStyle w:val="Compact"/>
      </w:pPr>
      <w:r>
        <w:t xml:space="preserve">21.3</w:t>
      </w:r>
    </w:p>
    <w:p>
      <w:pPr>
        <w:pStyle w:val="Compact"/>
      </w:pPr>
      <w:r>
        <w:t xml:space="preserve">N=906</w:t>
      </w:r>
    </w:p>
    <w:p>
      <w:pPr>
        <w:pStyle w:val="Compact"/>
      </w:pPr>
      <w:r>
        <w:t xml:space="preserve">100</w:t>
      </w:r>
    </w:p>
    <w:p>
      <w:pPr>
        <w:pStyle w:val="Compact"/>
      </w:pPr>
      <w:r>
        <w:t xml:space="preserve">100</w:t>
      </w:r>
    </w:p>
    <w:p>
      <w:pPr>
        <w:pStyle w:val="Compact"/>
      </w:pPr>
      <w:r>
        <w:t xml:space="preserve">100</w:t>
      </w:r>
    </w:p>
    <w:p>
      <w:pPr>
        <w:pStyle w:val="Ttulo4"/>
      </w:pPr>
      <w:bookmarkStart w:id="96" w:name="inclusión-social"/>
      <w:r>
        <w:t xml:space="preserve">3.1.3.2	Inclusión social</w:t>
      </w:r>
      <w:bookmarkEnd w:id="96"/>
    </w:p>
    <w:p>
      <w:pPr>
        <w:pStyle w:val="FirstParagraph"/>
      </w:pPr>
      <w:r>
        <w:t xml:space="preserve">Hay diversas dimensiones en las brechas de participación en las condiciones de vida que una sociedad ofrece a sus integrantes.</w:t>
      </w:r>
    </w:p>
    <w:p>
      <w:pPr>
        <w:pStyle w:val="Compact"/>
        <w:numPr>
          <w:numId w:val="1019"/>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pStyle w:val="Compact"/>
        <w:numPr>
          <w:numId w:val="1020"/>
          <w:ilvl w:val="1"/>
        </w:numPr>
      </w:pPr>
      <w:r>
        <w:t xml:space="preserve">La edad está medida en años</w:t>
      </w:r>
    </w:p>
    <w:p>
      <w:pPr>
        <w:pStyle w:val="Compact"/>
      </w:pPr>
      <w:r>
        <w:t xml:space="preserve">Clases de cohesion</w:t>
      </w:r>
      <w:r>
        <w:t xml:space="preserve">social</w:t>
      </w:r>
    </w:p>
    <w:p>
      <w:pPr>
        <w:pStyle w:val="Compact"/>
      </w:pPr>
      <w:r>
        <w:t xml:space="preserve">Edad en tramos</w:t>
      </w:r>
    </w:p>
    <w:p>
      <w:pPr>
        <w:pStyle w:val="Compact"/>
      </w:pPr>
      <w:r>
        <w:t xml:space="preserve">N=1490</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Institucional</w:t>
      </w:r>
    </w:p>
    <w:p>
      <w:pPr>
        <w:pStyle w:val="Compact"/>
      </w:pPr>
      <w:r>
        <w:t xml:space="preserve">66.3</w:t>
      </w:r>
    </w:p>
    <w:p>
      <w:pPr>
        <w:pStyle w:val="Compact"/>
      </w:pPr>
      <w:r>
        <w:t xml:space="preserve">57</w:t>
      </w:r>
    </w:p>
    <w:p>
      <w:pPr>
        <w:pStyle w:val="Compact"/>
      </w:pPr>
      <w:r>
        <w:t xml:space="preserve">49.6</w:t>
      </w:r>
    </w:p>
    <w:p>
      <w:pPr>
        <w:pStyle w:val="Compact"/>
      </w:pPr>
      <w:r>
        <w:t xml:space="preserve">39.7</w:t>
      </w:r>
    </w:p>
    <w:p>
      <w:pPr>
        <w:pStyle w:val="Compact"/>
      </w:pPr>
      <w:r>
        <w:t xml:space="preserve">21.8</w:t>
      </w:r>
    </w:p>
    <w:p>
      <w:pPr>
        <w:pStyle w:val="Compact"/>
      </w:pPr>
      <w:r>
        <w:t xml:space="preserve">43.2</w:t>
      </w:r>
    </w:p>
    <w:p>
      <w:pPr>
        <w:pStyle w:val="Compact"/>
      </w:pPr>
      <w:r>
        <w:t xml:space="preserve">Movilizado</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32.6</w:t>
      </w:r>
    </w:p>
    <w:p>
      <w:pPr>
        <w:pStyle w:val="Compact"/>
      </w:pPr>
      <w:r>
        <w:t xml:space="preserve">Atomizado</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w:t>
      </w:r>
    </w:p>
    <w:p>
      <w:pPr>
        <w:pStyle w:val="Compact"/>
      </w:pPr>
      <w:r>
        <w:t xml:space="preserve">24.2</w:t>
      </w:r>
    </w:p>
    <w:p>
      <w:pPr>
        <w:pStyle w:val="Compact"/>
      </w:pPr>
      <w:r>
        <w:t xml:space="preserve">N=1490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numPr>
          <w:numId w:val="1021"/>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Clases de cohesion</w:t>
      </w:r>
      <w:r>
        <w:t xml:space="preserve">social</w:t>
      </w:r>
    </w:p>
    <w:p>
      <w:pPr>
        <w:pStyle w:val="Compact"/>
      </w:pPr>
      <w:r>
        <w:t xml:space="preserve">Sexo</w:t>
      </w:r>
    </w:p>
    <w:p>
      <w:pPr>
        <w:pStyle w:val="Compact"/>
      </w:pPr>
      <w:r>
        <w:t xml:space="preserve">N=1490</w:t>
      </w:r>
    </w:p>
    <w:p>
      <w:pPr>
        <w:pStyle w:val="Compact"/>
      </w:pPr>
      <w:r>
        <w:t xml:space="preserve">Hombre</w:t>
      </w:r>
    </w:p>
    <w:p>
      <w:pPr>
        <w:pStyle w:val="Compact"/>
      </w:pPr>
      <w:r>
        <w:t xml:space="preserve">Mujer</w:t>
      </w:r>
    </w:p>
    <w:p>
      <w:pPr>
        <w:pStyle w:val="Compact"/>
      </w:pPr>
      <w:r>
        <w:t xml:space="preserve">Institucional</w:t>
      </w:r>
    </w:p>
    <w:p>
      <w:pPr>
        <w:pStyle w:val="Compact"/>
      </w:pPr>
      <w:r>
        <w:t xml:space="preserve">47.7</w:t>
      </w:r>
    </w:p>
    <w:p>
      <w:pPr>
        <w:pStyle w:val="Compact"/>
      </w:pPr>
      <w:r>
        <w:t xml:space="preserve">40.8</w:t>
      </w:r>
    </w:p>
    <w:p>
      <w:pPr>
        <w:pStyle w:val="Compact"/>
      </w:pPr>
      <w:r>
        <w:t xml:space="preserve">43.2</w:t>
      </w:r>
    </w:p>
    <w:p>
      <w:pPr>
        <w:pStyle w:val="Compact"/>
      </w:pPr>
      <w:r>
        <w:t xml:space="preserve">Movilizado</w:t>
      </w:r>
    </w:p>
    <w:p>
      <w:pPr>
        <w:pStyle w:val="Compact"/>
      </w:pPr>
      <w:r>
        <w:t xml:space="preserve">31.7</w:t>
      </w:r>
    </w:p>
    <w:p>
      <w:pPr>
        <w:pStyle w:val="Compact"/>
      </w:pPr>
      <w:r>
        <w:t xml:space="preserve">33</w:t>
      </w:r>
    </w:p>
    <w:p>
      <w:pPr>
        <w:pStyle w:val="Compact"/>
      </w:pPr>
      <w:r>
        <w:t xml:space="preserve">32.6</w:t>
      </w:r>
    </w:p>
    <w:p>
      <w:pPr>
        <w:pStyle w:val="Compact"/>
      </w:pPr>
      <w:r>
        <w:t xml:space="preserve">Atomizado</w:t>
      </w:r>
    </w:p>
    <w:p>
      <w:pPr>
        <w:pStyle w:val="Compact"/>
      </w:pPr>
      <w:r>
        <w:t xml:space="preserve">20.6</w:t>
      </w:r>
    </w:p>
    <w:p>
      <w:pPr>
        <w:pStyle w:val="Compact"/>
      </w:pPr>
      <w:r>
        <w:t xml:space="preserve">26.2</w:t>
      </w:r>
    </w:p>
    <w:p>
      <w:pPr>
        <w:pStyle w:val="Compact"/>
      </w:pPr>
      <w:r>
        <w:t xml:space="preserve">24.2</w:t>
      </w:r>
    </w:p>
    <w:p>
      <w:pPr>
        <w:pStyle w:val="Compact"/>
      </w:pPr>
      <w:r>
        <w:t xml:space="preserve">N=1490</w:t>
      </w:r>
    </w:p>
    <w:p>
      <w:pPr>
        <w:pStyle w:val="Compact"/>
      </w:pPr>
      <w:r>
        <w:t xml:space="preserve">100</w:t>
      </w:r>
    </w:p>
    <w:p>
      <w:pPr>
        <w:pStyle w:val="Compact"/>
      </w:pPr>
      <w:r>
        <w:t xml:space="preserve">100</w:t>
      </w:r>
    </w:p>
    <w:p>
      <w:pPr>
        <w:pStyle w:val="Compact"/>
      </w:pPr>
      <w:r>
        <w:t xml:space="preserve">100</w:t>
      </w:r>
    </w:p>
    <w:p>
      <w:pPr>
        <w:pStyle w:val="Compact"/>
        <w:numPr>
          <w:numId w:val="1022"/>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pStyle w:val="Compact"/>
        <w:numPr>
          <w:numId w:val="1023"/>
          <w:ilvl w:val="1"/>
        </w:numPr>
      </w:pPr>
      <w:r>
        <w:t xml:space="preserve">La educación en 4 grupos: Básica, media, técnica y universitaria #probar años u otra clasificación#</w:t>
      </w:r>
    </w:p>
    <w:p>
      <w:pPr>
        <w:pStyle w:val="Compact"/>
      </w:pPr>
      <w:r>
        <w:t xml:space="preserve">Clases de cohesión</w:t>
      </w:r>
      <w:r>
        <w:t xml:space="preserve">social</w:t>
      </w:r>
    </w:p>
    <w:p>
      <w:pPr>
        <w:pStyle w:val="Compact"/>
      </w:pPr>
      <w:r>
        <w:t xml:space="preserve">Nivel educacional</w:t>
      </w:r>
    </w:p>
    <w:p>
      <w:pPr>
        <w:pStyle w:val="Compact"/>
      </w:pPr>
      <w:r>
        <w:t xml:space="preserve">N=1489</w:t>
      </w:r>
    </w:p>
    <w:p>
      <w:pPr>
        <w:pStyle w:val="Compact"/>
      </w:pPr>
      <w:r>
        <w:t xml:space="preserve">Educacion basica</w:t>
      </w:r>
    </w:p>
    <w:p>
      <w:pPr>
        <w:pStyle w:val="Compact"/>
      </w:pPr>
      <w:r>
        <w:t xml:space="preserve">Educacion media</w:t>
      </w:r>
    </w:p>
    <w:p>
      <w:pPr>
        <w:pStyle w:val="Compact"/>
      </w:pPr>
      <w:r>
        <w:t xml:space="preserve">tecnica superior</w:t>
      </w:r>
    </w:p>
    <w:p>
      <w:pPr>
        <w:pStyle w:val="Compact"/>
      </w:pPr>
      <w:r>
        <w:t xml:space="preserve">universitaria y</w:t>
      </w:r>
      <w:r>
        <w:t xml:space="preserve">Postgrado</w:t>
      </w:r>
    </w:p>
    <w:p>
      <w:pPr>
        <w:pStyle w:val="Compact"/>
      </w:pPr>
      <w:r>
        <w:t xml:space="preserve">Institucional</w:t>
      </w:r>
    </w:p>
    <w:p>
      <w:pPr>
        <w:pStyle w:val="Compact"/>
      </w:pPr>
      <w:r>
        <w:t xml:space="preserve">15.4</w:t>
      </w:r>
    </w:p>
    <w:p>
      <w:pPr>
        <w:pStyle w:val="Compact"/>
      </w:pPr>
      <w:r>
        <w:t xml:space="preserve">40.4</w:t>
      </w:r>
    </w:p>
    <w:p>
      <w:pPr>
        <w:pStyle w:val="Compact"/>
      </w:pPr>
      <w:r>
        <w:t xml:space="preserve">57.1</w:t>
      </w:r>
    </w:p>
    <w:p>
      <w:pPr>
        <w:pStyle w:val="Compact"/>
      </w:pPr>
      <w:r>
        <w:t xml:space="preserve">72.7</w:t>
      </w:r>
    </w:p>
    <w:p>
      <w:pPr>
        <w:pStyle w:val="Compact"/>
      </w:pPr>
      <w:r>
        <w:t xml:space="preserve">43.3</w:t>
      </w:r>
    </w:p>
    <w:p>
      <w:pPr>
        <w:pStyle w:val="Compact"/>
      </w:pPr>
      <w:r>
        <w:t xml:space="preserve">Movilizado</w:t>
      </w:r>
    </w:p>
    <w:p>
      <w:pPr>
        <w:pStyle w:val="Compact"/>
      </w:pPr>
      <w:r>
        <w:t xml:space="preserve">54.7</w:t>
      </w:r>
    </w:p>
    <w:p>
      <w:pPr>
        <w:pStyle w:val="Compact"/>
      </w:pPr>
      <w:r>
        <w:t xml:space="preserve">32.2</w:t>
      </w:r>
    </w:p>
    <w:p>
      <w:pPr>
        <w:pStyle w:val="Compact"/>
      </w:pPr>
      <w:r>
        <w:t xml:space="preserve">21.4</w:t>
      </w:r>
    </w:p>
    <w:p>
      <w:pPr>
        <w:pStyle w:val="Compact"/>
      </w:pPr>
      <w:r>
        <w:t xml:space="preserve">15.9</w:t>
      </w:r>
    </w:p>
    <w:p>
      <w:pPr>
        <w:pStyle w:val="Compact"/>
      </w:pPr>
      <w:r>
        <w:t xml:space="preserve">32.6</w:t>
      </w:r>
    </w:p>
    <w:p>
      <w:pPr>
        <w:pStyle w:val="Compact"/>
      </w:pPr>
      <w:r>
        <w:t xml:space="preserve">Atomizado</w:t>
      </w:r>
    </w:p>
    <w:p>
      <w:pPr>
        <w:pStyle w:val="Compact"/>
      </w:pPr>
      <w:r>
        <w:t xml:space="preserve">29.9</w:t>
      </w:r>
    </w:p>
    <w:p>
      <w:pPr>
        <w:pStyle w:val="Compact"/>
      </w:pPr>
      <w:r>
        <w:t xml:space="preserve">27.4</w:t>
      </w:r>
    </w:p>
    <w:p>
      <w:pPr>
        <w:pStyle w:val="Compact"/>
      </w:pPr>
      <w:r>
        <w:t xml:space="preserve">21.4</w:t>
      </w:r>
    </w:p>
    <w:p>
      <w:pPr>
        <w:pStyle w:val="Compact"/>
      </w:pPr>
      <w:r>
        <w:t xml:space="preserve">11.4</w:t>
      </w:r>
    </w:p>
    <w:p>
      <w:pPr>
        <w:pStyle w:val="Compact"/>
      </w:pPr>
      <w:r>
        <w:t xml:space="preserve">24.2</w:t>
      </w:r>
    </w:p>
    <w:p>
      <w:pPr>
        <w:pStyle w:val="Compact"/>
      </w:pPr>
      <w:r>
        <w:t xml:space="preserve">N=1489</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pStyle w:val="Compact"/>
        <w:numPr>
          <w:numId w:val="1025"/>
          <w:ilvl w:val="1"/>
        </w:numPr>
      </w:pPr>
      <w:r>
        <w:t xml:space="preserve">Los niveles de ingreso están medidos en quintiles #no incluir los que no lo reportan. #</w:t>
      </w:r>
    </w:p>
    <w:p>
      <w:pPr>
        <w:pStyle w:val="Compact"/>
      </w:pPr>
      <w:r>
        <w:t xml:space="preserve">Clases de cohesión</w:t>
      </w:r>
      <w:r>
        <w:t xml:space="preserve">social</w:t>
      </w:r>
    </w:p>
    <w:p>
      <w:pPr>
        <w:pStyle w:val="Compact"/>
      </w:pPr>
      <w:r>
        <w:t xml:space="preserve">Quintiles de</w:t>
      </w:r>
      <w:r>
        <w:t xml:space="preserve">ingresos</w:t>
      </w:r>
    </w:p>
    <w:p>
      <w:pPr>
        <w:pStyle w:val="Compact"/>
      </w:pPr>
      <w:r>
        <w:t xml:space="preserve">N=1426</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Institucional</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43.1</w:t>
      </w:r>
    </w:p>
    <w:p>
      <w:pPr>
        <w:pStyle w:val="Compact"/>
      </w:pPr>
      <w:r>
        <w:t xml:space="preserve">Movilizado</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32.6</w:t>
      </w:r>
    </w:p>
    <w:p>
      <w:pPr>
        <w:pStyle w:val="Compact"/>
      </w:pPr>
      <w:r>
        <w:t xml:space="preserve">Atomizado</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24.3</w:t>
      </w:r>
    </w:p>
    <w:p>
      <w:pPr>
        <w:pStyle w:val="Compact"/>
      </w:pPr>
      <w:r>
        <w:t xml:space="preserve">N=1426</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pStyle w:val="Compact"/>
      </w:pPr>
      <w:r>
        <w:t xml:space="preserve">100</w:t>
      </w:r>
    </w:p>
    <w:p>
      <w:pPr>
        <w:numPr>
          <w:numId w:val="1026"/>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6"/>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Compact"/>
        <w:numPr>
          <w:numId w:val="1027"/>
          <w:ilvl w:val="1"/>
        </w:numPr>
      </w:pPr>
      <w:r>
        <w:t xml:space="preserve">Promedio años escolaridad de sostenedores en 1 km a la redonda #preferir desv estándar#</w:t>
      </w:r>
      <w:r>
        <w:t xml:space="preserve"> </w:t>
      </w:r>
      <w:r>
        <w:drawing>
          <wp:inline>
            <wp:extent cx="5600700" cy="2911510"/>
            <wp:effectExtent b="0" l="0" r="0" t="0"/>
            <wp:docPr descr="" title="" id="1" name="Picture"/>
            <a:graphic>
              <a:graphicData uri="http://schemas.openxmlformats.org/drawingml/2006/picture">
                <pic:pic>
                  <pic:nvPicPr>
                    <pic:cNvPr descr="output/graphs/clase-sdeduc.png" id="0" name="Picture"/>
                    <pic:cNvPicPr>
                      <a:picLocks noChangeArrowheads="1" noChangeAspect="1"/>
                    </pic:cNvPicPr>
                  </pic:nvPicPr>
                  <pic:blipFill>
                    <a:blip r:embed="rId97"/>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trabajadores/as (ocupados??) en 1 km a la redonda #usar también inactivos#</w:t>
      </w:r>
      <w:r>
        <w:t xml:space="preserve"> </w:t>
      </w:r>
      <w:r>
        <w:drawing>
          <wp:inline>
            <wp:extent cx="5600700" cy="2911510"/>
            <wp:effectExtent b="0" l="0" r="0" t="0"/>
            <wp:docPr descr="" title="" id="1" name="Picture"/>
            <a:graphic>
              <a:graphicData uri="http://schemas.openxmlformats.org/drawingml/2006/picture">
                <pic:pic>
                  <pic:nvPicPr>
                    <pic:cNvPr descr="output/graphs/clase-trab.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cesantes en 1 km a la redonda</w:t>
      </w:r>
      <w:r>
        <w:t xml:space="preserve"> </w:t>
      </w:r>
      <w:r>
        <w:drawing>
          <wp:inline>
            <wp:extent cx="5600700" cy="2911510"/>
            <wp:effectExtent b="0" l="0" r="0" t="0"/>
            <wp:docPr descr="" title="" id="1" name="Picture"/>
            <a:graphic>
              <a:graphicData uri="http://schemas.openxmlformats.org/drawingml/2006/picture">
                <pic:pic>
                  <pic:nvPicPr>
                    <pic:cNvPr descr="output/graphs/clase-cesantes.png" id="0" name="Picture"/>
                    <pic:cNvPicPr>
                      <a:picLocks noChangeArrowheads="1" noChangeAspect="1"/>
                    </pic:cNvPicPr>
                  </pic:nvPicPr>
                  <pic:blipFill>
                    <a:blip r:embed="rId99"/>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areas verdes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ver.png" id="0" name="Picture"/>
                    <pic:cNvPicPr>
                      <a:picLocks noChangeArrowheads="1" noChangeAspect="1"/>
                    </pic:cNvPicPr>
                  </pic:nvPicPr>
                  <pic:blipFill>
                    <a:blip r:embed="rId100"/>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colegios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ed.png" id="0" name="Picture"/>
                    <pic:cNvPicPr>
                      <a:picLocks noChangeArrowheads="1" noChangeAspect="1"/>
                    </pic:cNvPicPr>
                  </pic:nvPicPr>
                  <pic:blipFill>
                    <a:blip r:embed="rId101"/>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servicios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cs.png" id="0" name="Picture"/>
                    <pic:cNvPicPr>
                      <a:picLocks noChangeArrowheads="1" noChangeAspect="1"/>
                    </pic:cNvPicPr>
                  </pic:nvPicPr>
                  <pic:blipFill>
                    <a:blip r:embed="rId102"/>
                    <a:stretch>
                      <a:fillRect/>
                    </a:stretch>
                  </pic:blipFill>
                  <pic:spPr bwMode="auto">
                    <a:xfrm>
                      <a:off x="0" y="0"/>
                      <a:ext cx="5600700" cy="2911510"/>
                    </a:xfrm>
                    <a:prstGeom prst="rect">
                      <a:avLst/>
                    </a:prstGeom>
                    <a:noFill/>
                    <a:ln w="9525">
                      <a:noFill/>
                      <a:headEnd/>
                      <a:tailEnd/>
                    </a:ln>
                  </pic:spPr>
                </pic:pic>
              </a:graphicData>
            </a:graphic>
          </wp:inline>
        </w:drawing>
      </w:r>
    </w:p>
    <w:p>
      <w:pPr>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Clases de cohesión</w:t>
      </w:r>
      <w:r>
        <w:t xml:space="preserve">social</w:t>
      </w:r>
    </w:p>
    <w:p>
      <w:pPr>
        <w:pStyle w:val="Compact"/>
      </w:pPr>
      <w:r>
        <w:t xml:space="preserve">Etnia</w:t>
      </w:r>
    </w:p>
    <w:p>
      <w:pPr>
        <w:pStyle w:val="Compact"/>
      </w:pPr>
      <w:r>
        <w:t xml:space="preserve">N=1472</w:t>
      </w:r>
    </w:p>
    <w:p>
      <w:pPr>
        <w:pStyle w:val="Compact"/>
      </w:pPr>
      <w:r>
        <w:t xml:space="preserve">Ninguna</w:t>
      </w:r>
    </w:p>
    <w:p>
      <w:pPr>
        <w:pStyle w:val="Compact"/>
      </w:pPr>
      <w:r>
        <w:t xml:space="preserve">Pertenece a una</w:t>
      </w:r>
      <w:r>
        <w:t xml:space="preserve">etnia</w:t>
      </w:r>
    </w:p>
    <w:p>
      <w:pPr>
        <w:pStyle w:val="Compact"/>
      </w:pPr>
      <w:r>
        <w:t xml:space="preserve">Institucional</w:t>
      </w:r>
    </w:p>
    <w:p>
      <w:pPr>
        <w:pStyle w:val="Compact"/>
      </w:pPr>
      <w:r>
        <w:t xml:space="preserve">42.3</w:t>
      </w:r>
    </w:p>
    <w:p>
      <w:pPr>
        <w:pStyle w:val="Compact"/>
      </w:pPr>
      <w:r>
        <w:t xml:space="preserve">50</w:t>
      </w:r>
    </w:p>
    <w:p>
      <w:pPr>
        <w:pStyle w:val="Compact"/>
      </w:pPr>
      <w:r>
        <w:t xml:space="preserve">43.2</w:t>
      </w:r>
    </w:p>
    <w:p>
      <w:pPr>
        <w:pStyle w:val="Compact"/>
      </w:pPr>
      <w:r>
        <w:t xml:space="preserve">Movilizado</w:t>
      </w:r>
    </w:p>
    <w:p>
      <w:pPr>
        <w:pStyle w:val="Compact"/>
      </w:pPr>
      <w:r>
        <w:t xml:space="preserve">33.5</w:t>
      </w:r>
    </w:p>
    <w:p>
      <w:pPr>
        <w:pStyle w:val="Compact"/>
      </w:pPr>
      <w:r>
        <w:t xml:space="preserve">26.7</w:t>
      </w:r>
    </w:p>
    <w:p>
      <w:pPr>
        <w:pStyle w:val="Compact"/>
      </w:pPr>
      <w:r>
        <w:t xml:space="preserve">32.7</w:t>
      </w:r>
    </w:p>
    <w:p>
      <w:pPr>
        <w:pStyle w:val="Compact"/>
      </w:pPr>
      <w:r>
        <w:t xml:space="preserve">Atomizado</w:t>
      </w:r>
    </w:p>
    <w:p>
      <w:pPr>
        <w:pStyle w:val="Compact"/>
      </w:pPr>
      <w:r>
        <w:t xml:space="preserve">24.2</w:t>
      </w:r>
    </w:p>
    <w:p>
      <w:pPr>
        <w:pStyle w:val="Compact"/>
      </w:pPr>
      <w:r>
        <w:t xml:space="preserve">23.3</w:t>
      </w:r>
    </w:p>
    <w:p>
      <w:pPr>
        <w:pStyle w:val="Compact"/>
      </w:pPr>
      <w:r>
        <w:t xml:space="preserve">24.1</w:t>
      </w:r>
    </w:p>
    <w:p>
      <w:pPr>
        <w:pStyle w:val="Compact"/>
      </w:pPr>
      <w:r>
        <w:t xml:space="preserve">N=1472</w:t>
      </w:r>
    </w:p>
    <w:p>
      <w:pPr>
        <w:pStyle w:val="Compact"/>
      </w:pPr>
      <w:r>
        <w:t xml:space="preserve">100</w:t>
      </w:r>
    </w:p>
    <w:p>
      <w:pPr>
        <w:pStyle w:val="Compact"/>
      </w:pPr>
      <w:r>
        <w:t xml:space="preserve">100</w:t>
      </w:r>
    </w:p>
    <w:p>
      <w:pPr>
        <w:pStyle w:val="Compact"/>
      </w:pPr>
      <w:r>
        <w:t xml:space="preserve">100</w:t>
      </w:r>
    </w:p>
    <w:p>
      <w:pPr>
        <w:pStyle w:val="Compact"/>
        <w:numPr>
          <w:numId w:val="1028"/>
          <w:ilvl w:val="0"/>
        </w:numPr>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Clases de cohesión</w:t>
      </w:r>
      <w:r>
        <w:t xml:space="preserve">social</w:t>
      </w:r>
    </w:p>
    <w:p>
      <w:pPr>
        <w:pStyle w:val="Compact"/>
      </w:pPr>
      <w:r>
        <w:t xml:space="preserve">Nacion</w:t>
      </w:r>
    </w:p>
    <w:p>
      <w:pPr>
        <w:pStyle w:val="Compact"/>
      </w:pPr>
      <w:r>
        <w:t xml:space="preserve">N=1490</w:t>
      </w:r>
    </w:p>
    <w:p>
      <w:pPr>
        <w:pStyle w:val="Compact"/>
      </w:pPr>
      <w:r>
        <w:t xml:space="preserve">Nacionalidad chilena</w:t>
      </w:r>
    </w:p>
    <w:p>
      <w:pPr>
        <w:pStyle w:val="Compact"/>
      </w:pPr>
      <w:r>
        <w:t xml:space="preserve">Otra nacionalidad</w:t>
      </w:r>
    </w:p>
    <w:p>
      <w:pPr>
        <w:pStyle w:val="Compact"/>
      </w:pPr>
      <w:r>
        <w:t xml:space="preserve">Institucional</w:t>
      </w:r>
    </w:p>
    <w:p>
      <w:pPr>
        <w:pStyle w:val="Compact"/>
      </w:pPr>
      <w:r>
        <w:t xml:space="preserve">43.4</w:t>
      </w:r>
    </w:p>
    <w:p>
      <w:pPr>
        <w:pStyle w:val="Compact"/>
      </w:pPr>
      <w:r>
        <w:t xml:space="preserve">33.3</w:t>
      </w:r>
    </w:p>
    <w:p>
      <w:pPr>
        <w:pStyle w:val="Compact"/>
      </w:pPr>
      <w:r>
        <w:t xml:space="preserve">43.2</w:t>
      </w:r>
    </w:p>
    <w:p>
      <w:pPr>
        <w:pStyle w:val="Compact"/>
      </w:pPr>
      <w:r>
        <w:t xml:space="preserve">Movilizado</w:t>
      </w:r>
    </w:p>
    <w:p>
      <w:pPr>
        <w:pStyle w:val="Compact"/>
      </w:pPr>
      <w:r>
        <w:t xml:space="preserve">32.6</w:t>
      </w:r>
    </w:p>
    <w:p>
      <w:pPr>
        <w:pStyle w:val="Compact"/>
      </w:pPr>
      <w:r>
        <w:t xml:space="preserve">29.6</w:t>
      </w:r>
    </w:p>
    <w:p>
      <w:pPr>
        <w:pStyle w:val="Compact"/>
      </w:pPr>
      <w:r>
        <w:t xml:space="preserve">32.6</w:t>
      </w:r>
    </w:p>
    <w:p>
      <w:pPr>
        <w:pStyle w:val="Compact"/>
      </w:pPr>
      <w:r>
        <w:t xml:space="preserve">Atomizado</w:t>
      </w:r>
    </w:p>
    <w:p>
      <w:pPr>
        <w:pStyle w:val="Compact"/>
      </w:pPr>
      <w:r>
        <w:t xml:space="preserve">24</w:t>
      </w:r>
    </w:p>
    <w:p>
      <w:pPr>
        <w:pStyle w:val="Compact"/>
      </w:pPr>
      <w:r>
        <w:t xml:space="preserve">37</w:t>
      </w:r>
    </w:p>
    <w:p>
      <w:pPr>
        <w:pStyle w:val="Compact"/>
      </w:pPr>
      <w:r>
        <w:t xml:space="preserve">24.2</w:t>
      </w:r>
    </w:p>
    <w:p>
      <w:pPr>
        <w:pStyle w:val="Compact"/>
      </w:pPr>
      <w:r>
        <w:t xml:space="preserve">N=1490</w:t>
      </w:r>
    </w:p>
    <w:p>
      <w:pPr>
        <w:pStyle w:val="Compact"/>
      </w:pPr>
      <w:r>
        <w:t xml:space="preserve">100</w:t>
      </w:r>
    </w:p>
    <w:p>
      <w:pPr>
        <w:pStyle w:val="Compact"/>
      </w:pPr>
      <w:r>
        <w:t xml:space="preserve">100</w:t>
      </w:r>
    </w:p>
    <w:p>
      <w:pPr>
        <w:pStyle w:val="Compact"/>
      </w:pPr>
      <w:r>
        <w:t xml:space="preserve">100</w:t>
      </w:r>
    </w:p>
    <w:p>
      <w:pPr>
        <w:pStyle w:val="Ttulo1"/>
      </w:pPr>
      <w:bookmarkStart w:id="103" w:name="bibliografía"/>
      <w:r>
        <w:t xml:space="preserve">Bibliografía</w:t>
      </w:r>
      <w:bookmarkEnd w:id="103"/>
    </w:p>
    <w:bookmarkStart w:id="111" w:name="refs"/>
    <w:bookmarkStart w:id="104"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4"/>
    <w:bookmarkStart w:id="105"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5"/>
    <w:bookmarkStart w:id="107"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06">
        <w:r>
          <w:rPr>
            <w:rStyle w:val="Hipervnculo"/>
          </w:rPr>
          <w:t xml:space="preserve">https://doi.org/10.1371/journal.pone.0008694</w:t>
        </w:r>
      </w:hyperlink>
    </w:p>
    <w:bookmarkEnd w:id="107"/>
    <w:bookmarkStart w:id="109"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08">
        <w:r>
          <w:rPr>
            <w:rStyle w:val="Hipervnculo"/>
          </w:rPr>
          <w:t xml:space="preserve">https://doi.org/10.1007/s11205-016-1314-5</w:t>
        </w:r>
      </w:hyperlink>
    </w:p>
    <w:bookmarkEnd w:id="109"/>
    <w:bookmarkStart w:id="110"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0"/>
    <w:bookmarkEnd w:id="11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2021-10-12T11:58:15Z</dcterms:created>
  <dcterms:modified xsi:type="dcterms:W3CDTF">2021-10-12T11:58:15Z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2021-10-12</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